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7229" w14:textId="35B0F29B" w:rsidR="00556E94" w:rsidRPr="00556E94" w:rsidRDefault="00556E94" w:rsidP="00556E94">
      <w:pPr>
        <w:pStyle w:val="Heading1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 xml:space="preserve">Digital Portal (Document Vault) — Mission &amp; Boundaries </w:t>
      </w:r>
    </w:p>
    <w:p w14:paraId="49797EB0" w14:textId="77777777" w:rsidR="00556E94" w:rsidRPr="00556E94" w:rsidRDefault="00556E94" w:rsidP="00556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i/>
          <w:iCs/>
          <w:kern w:val="0"/>
          <w:lang w:eastAsia="en-CA"/>
          <w14:ligatures w14:val="none"/>
        </w:rPr>
        <w:t>(Example “one-pager” you can drop into your platform charter. Facts tied to public SideDrawer and BCG sources.)</w:t>
      </w:r>
    </w:p>
    <w:p w14:paraId="54FE0013" w14:textId="77777777" w:rsidR="00556E94" w:rsidRPr="00556E94" w:rsidRDefault="00556E94" w:rsidP="00556E94">
      <w:pPr>
        <w:pStyle w:val="Heading2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Mission</w:t>
      </w:r>
    </w:p>
    <w:p w14:paraId="2F55C673" w14:textId="0835E7E6" w:rsidR="00556E94" w:rsidRPr="00556E94" w:rsidRDefault="00556E94" w:rsidP="00556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Stand up a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shared, bank-wide digital portal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—powered by SideDrawer—that any line of business (LOB) can consume to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securely request, ingest, classify, store, and share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client documents and sensitive artifacts with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immutable auditability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policy-as-code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controls, and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enterprise integrations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Run it as a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platform-as-a-product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to eliminate duplicate tooling, accelerate delivery, and concentrate scarce talent where it has leverage. This mirrors BCG’s Platform Operating Model (POM): shared platforms deliver reusable capabilities consumed across BUs to create value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faster, cheaper, and at scale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while building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agility and resilience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</w:t>
      </w:r>
    </w:p>
    <w:p w14:paraId="08AAF2B0" w14:textId="77777777" w:rsidR="00556E94" w:rsidRPr="00556E94" w:rsidRDefault="00556E94" w:rsidP="00556E94">
      <w:pPr>
        <w:pStyle w:val="Heading2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What the Portal Provides (Scope)</w:t>
      </w:r>
    </w:p>
    <w:p w14:paraId="212CF34D" w14:textId="77777777" w:rsidR="00556E94" w:rsidRPr="00556E94" w:rsidRDefault="00556E94" w:rsidP="00556E94">
      <w:pPr>
        <w:pStyle w:val="Heading3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Core capabilities</w:t>
      </w:r>
    </w:p>
    <w:p w14:paraId="547E8EA3" w14:textId="1A1A8C2E" w:rsidR="00556E94" w:rsidRPr="00556E94" w:rsidRDefault="00556E94" w:rsidP="00556E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API-first digital vault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for secure collaboration and document lifecycle (create/read/update, permissions, versioning, retention, export). SideDrawer exposes a public developer portal and API reference with standard HTTP semantics. </w:t>
      </w:r>
    </w:p>
    <w:p w14:paraId="1632EFDD" w14:textId="11F18846" w:rsidR="00556E94" w:rsidRPr="00556E94" w:rsidRDefault="00556E94" w:rsidP="00556E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Enterprise-grade security &amp; compliance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configurable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retention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audit trails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and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compliant storage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to streamline audits and records obligations. SideDrawer publicly highlights auditability and retention controls. </w:t>
      </w:r>
    </w:p>
    <w:p w14:paraId="3B28B34C" w14:textId="2FA5753F" w:rsidR="00556E94" w:rsidRPr="00556E94" w:rsidRDefault="00556E94" w:rsidP="00556E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Events &amp; webhooks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for integration (e.g., document uploaded/updated/shared), including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HMAC integrity headers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retry logic to harden downstream processing. </w:t>
      </w:r>
    </w:p>
    <w:p w14:paraId="2373456D" w14:textId="6CEBDDB6" w:rsidR="00556E94" w:rsidRPr="00556E94" w:rsidRDefault="00556E94" w:rsidP="00556E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Reusable UX primitives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(portal widgets/components) for upload, request, and secure share experiences; bank teams can compose these in web/mobile channels while SideDrawer remains the content and policy backbone. (Developer-friendly positioning; integrations page.)</w:t>
      </w:r>
    </w:p>
    <w:p w14:paraId="183B1FC5" w14:textId="77777777" w:rsidR="00556E94" w:rsidRPr="00556E94" w:rsidRDefault="00556E94" w:rsidP="00556E94">
      <w:pPr>
        <w:pStyle w:val="Heading3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Integrations (out-of-the-box or supported)</w:t>
      </w:r>
    </w:p>
    <w:p w14:paraId="2F3E92BF" w14:textId="77777777" w:rsidR="00556E94" w:rsidRPr="00556E94" w:rsidRDefault="00556E94" w:rsidP="00556E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e-Signature &amp; productivity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DocuSign, Acrobat </w:t>
      </w:r>
      <w:proofErr w:type="gramStart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Sign;</w:t>
      </w:r>
      <w:proofErr w:type="gramEnd"/>
    </w:p>
    <w:p w14:paraId="0E907C7C" w14:textId="77777777" w:rsidR="00556E94" w:rsidRPr="00556E94" w:rsidRDefault="00556E94" w:rsidP="00556E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Storage/ECM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Google Drive, OneDrive, SharePoint, Dropbox;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ECM connectors/on-prem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for </w:t>
      </w:r>
      <w:proofErr w:type="gramStart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enterprises;</w:t>
      </w:r>
      <w:proofErr w:type="gramEnd"/>
    </w:p>
    <w:p w14:paraId="58046561" w14:textId="0B4E77BA" w:rsidR="00556E94" w:rsidRPr="00556E94" w:rsidRDefault="00556E94" w:rsidP="00556E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Wealth/CRM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</w:t>
      </w:r>
      <w:proofErr w:type="spellStart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Addepar</w:t>
      </w:r>
      <w:proofErr w:type="spellEnd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Salesforce (contact SideDrawer), plus Zapier ecosystem.</w:t>
      </w:r>
    </w:p>
    <w:p w14:paraId="3BB22D41" w14:textId="77777777" w:rsidR="00556E94" w:rsidRPr="00556E94" w:rsidRDefault="00556E94" w:rsidP="00556E94">
      <w:pPr>
        <w:pStyle w:val="Heading3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lastRenderedPageBreak/>
        <w:t>Security attestations (baseline)</w:t>
      </w:r>
    </w:p>
    <w:p w14:paraId="3D7EE97C" w14:textId="042C9F80" w:rsidR="00556E94" w:rsidRPr="00556E94" w:rsidRDefault="00556E94" w:rsidP="00556E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SideDrawer publicly reports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SOC 2 Type I</w:t>
      </w:r>
      <w:r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and Type II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completion (report available to clients on request). Treat this as a bar to build on (e.g., SOC 2 Type II target, bank controls overlay). </w:t>
      </w:r>
    </w:p>
    <w:p w14:paraId="48D00FD7" w14:textId="77777777" w:rsidR="00556E94" w:rsidRPr="00556E94" w:rsidRDefault="00556E94" w:rsidP="00556E94">
      <w:pPr>
        <w:pStyle w:val="Heading3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Proven enterprise adoption signal</w:t>
      </w:r>
    </w:p>
    <w:p w14:paraId="70FC841E" w14:textId="3EEF9A90" w:rsidR="00556E94" w:rsidRPr="00556E94" w:rsidRDefault="00556E94" w:rsidP="00556E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TD announced a partnership to integrate SideDrawer as part of its innovation ecosystem (bank-grade file/data sharing). Use as external proof point when socializing the platform internally. </w:t>
      </w:r>
    </w:p>
    <w:p w14:paraId="22656B03" w14:textId="7A8EC88E" w:rsidR="00556E94" w:rsidRPr="00556E94" w:rsidRDefault="00556E94" w:rsidP="00556E94">
      <w:pPr>
        <w:pStyle w:val="Heading2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 xml:space="preserve">What the Portal Does Not Provide </w:t>
      </w:r>
      <w:r>
        <w:rPr>
          <w:rFonts w:eastAsia="Times New Roman"/>
          <w:lang w:eastAsia="en-CA"/>
        </w:rPr>
        <w:t>Out of the Box</w:t>
      </w:r>
    </w:p>
    <w:p w14:paraId="27C70C29" w14:textId="0CC763C7" w:rsidR="00556E94" w:rsidRPr="00556E94" w:rsidRDefault="00556E94" w:rsidP="00556E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LOB-specific workflows/journeys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(e.g., mortgage underwriting orchestration, advisor KYC refresh flows). Those remain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consumer (LOB) responsibilities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built 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using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portal APIs/widgets.</w:t>
      </w:r>
    </w:p>
    <w:p w14:paraId="1A2A51F8" w14:textId="77777777" w:rsidR="00556E94" w:rsidRPr="00556E94" w:rsidRDefault="00556E94" w:rsidP="00556E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Policy decisions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(retention schedules by product/region, legal holds, data residency choices). The platform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enforces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policy; Risk/Records/Privacy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define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it.</w:t>
      </w:r>
    </w:p>
    <w:p w14:paraId="64975F19" w14:textId="49822F13" w:rsidR="00556E94" w:rsidRPr="00556E94" w:rsidRDefault="00610EA9" w:rsidP="00556E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Other </w:t>
      </w:r>
      <w:r w:rsidR="00556E94"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systems of record</w:t>
      </w:r>
      <w:r w:rsidR="00556E94"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(CRM, LOS, core banking). The portal integrates via APIs/events; it does not replace them.</w:t>
      </w:r>
    </w:p>
    <w:p w14:paraId="1E283147" w14:textId="77777777" w:rsidR="00556E94" w:rsidRPr="00556E94" w:rsidRDefault="00556E94" w:rsidP="00556E94">
      <w:pPr>
        <w:pStyle w:val="Heading2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Consumers &amp; Interaction Model</w:t>
      </w:r>
    </w:p>
    <w:p w14:paraId="06F7398D" w14:textId="77777777" w:rsidR="00556E94" w:rsidRPr="00556E94" w:rsidRDefault="00556E94" w:rsidP="00556E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Primary consumers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 Stream-aligned product teams in Wealth, Retail, Commercial, Operations, and Shared Services (Tax/Legal/Records).</w:t>
      </w:r>
    </w:p>
    <w:p w14:paraId="55679802" w14:textId="77777777" w:rsidR="00556E94" w:rsidRPr="00556E94" w:rsidRDefault="00556E94" w:rsidP="00556E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How they consume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</w:t>
      </w:r>
    </w:p>
    <w:p w14:paraId="023F7101" w14:textId="77777777" w:rsidR="00556E94" w:rsidRPr="00556E94" w:rsidRDefault="00556E94" w:rsidP="00556E94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APIs/SDKs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to embed vault functions in apps/</w:t>
      </w:r>
      <w:proofErr w:type="gramStart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portals;</w:t>
      </w:r>
      <w:proofErr w:type="gramEnd"/>
    </w:p>
    <w:p w14:paraId="56DED288" w14:textId="77777777" w:rsidR="00556E94" w:rsidRPr="00556E94" w:rsidRDefault="00556E94" w:rsidP="00556E94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Widgets/components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for rapid UI </w:t>
      </w:r>
      <w:proofErr w:type="gramStart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assembly;</w:t>
      </w:r>
      <w:proofErr w:type="gramEnd"/>
    </w:p>
    <w:p w14:paraId="3D3F9AD4" w14:textId="77777777" w:rsidR="00556E94" w:rsidRPr="00556E94" w:rsidRDefault="00556E94" w:rsidP="00556E94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Events/webhooks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to trigger workflows in CRM/Case </w:t>
      </w:r>
      <w:proofErr w:type="spellStart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Mgmt</w:t>
      </w:r>
      <w:proofErr w:type="spellEnd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/</w:t>
      </w:r>
      <w:proofErr w:type="gramStart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ESB;</w:t>
      </w:r>
      <w:proofErr w:type="gramEnd"/>
    </w:p>
    <w:p w14:paraId="4C238551" w14:textId="07807BAF" w:rsidR="00556E94" w:rsidRPr="00556E94" w:rsidRDefault="00556E94" w:rsidP="00556E94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Reference app &amp; Postman collections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to accelerate onboarding. (Design for self-service; “developer-friendly” is a SideDrawer commitment.) </w:t>
      </w:r>
    </w:p>
    <w:p w14:paraId="09BE4726" w14:textId="77777777" w:rsidR="00556E94" w:rsidRPr="00556E94" w:rsidRDefault="00556E94" w:rsidP="00556E94">
      <w:pPr>
        <w:pStyle w:val="Heading2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Non-Functional Expectations (publish as initial SLOs)</w:t>
      </w:r>
    </w:p>
    <w:p w14:paraId="63BC44A9" w14:textId="42C893A1" w:rsidR="00556E94" w:rsidRPr="00556E94" w:rsidRDefault="00556E94" w:rsidP="00556E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Availability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≥ 99.9% (quarterly);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p95 API latency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targets per endpoint;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Webhook delivery success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≥ agreed threshold with retries/DLQ pattern. Govern trade-offs using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SLOs + error budgets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(Google SRE model).</w:t>
      </w:r>
    </w:p>
    <w:p w14:paraId="48A2E8A7" w14:textId="451FBD6A" w:rsidR="00556E94" w:rsidRPr="00556E94" w:rsidRDefault="00556E94" w:rsidP="00556E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Zero-Trust alignment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for </w:t>
      </w:r>
      <w:proofErr w:type="spellStart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authN</w:t>
      </w:r>
      <w:proofErr w:type="spellEnd"/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/Z, data plane, and device posture (anchor discussions on NIST SP 800-207). </w:t>
      </w:r>
    </w:p>
    <w:p w14:paraId="2CC41FAB" w14:textId="77777777" w:rsidR="00556E94" w:rsidRPr="00556E94" w:rsidRDefault="00556E94" w:rsidP="00556E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Observability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 consumer-visible dashboards for SLOs, audit &amp; access logs, event metrics.</w:t>
      </w:r>
    </w:p>
    <w:p w14:paraId="7AFFA428" w14:textId="77777777" w:rsidR="00556E94" w:rsidRPr="00556E94" w:rsidRDefault="00556E94" w:rsidP="00556E94">
      <w:pPr>
        <w:pStyle w:val="Heading2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lastRenderedPageBreak/>
        <w:t>Boundaries &amp; Decision Rights (tie to POM goals)</w:t>
      </w:r>
    </w:p>
    <w:p w14:paraId="3C4985D9" w14:textId="27AECD28" w:rsidR="00556E94" w:rsidRPr="00556E94" w:rsidRDefault="00556E94" w:rsidP="00556E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Centralized (Platform)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APIs/widgets/events, tenancy &amp; isolation, encryption patterns, audit/retention enforcement hooks, observability, versioning/deprecation windows, incident comms. (Drives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agility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via reuse,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resilience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via uniform controls,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talent leverage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by concentrating scarce skills.) </w:t>
      </w:r>
    </w:p>
    <w:p w14:paraId="6BA09E49" w14:textId="62AD3CF0" w:rsidR="00556E94" w:rsidRPr="00556E94" w:rsidRDefault="00556E94" w:rsidP="00556E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Federated (LOB extensions)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journey-specific orchestration, entitlements mapping, UI variations, and data capture nuances. (Allows customization at the edge while the platform scales common primitives.) </w:t>
      </w:r>
    </w:p>
    <w:p w14:paraId="0BE5492A" w14:textId="77777777" w:rsidR="00556E94" w:rsidRPr="00556E94" w:rsidRDefault="00556E94" w:rsidP="00556E94">
      <w:pPr>
        <w:pStyle w:val="Heading2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Interfaces &amp; Change Management</w:t>
      </w:r>
    </w:p>
    <w:p w14:paraId="7634806F" w14:textId="10CFCCD8" w:rsidR="00556E94" w:rsidRPr="00556E94" w:rsidRDefault="00556E94" w:rsidP="00556E9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Versioning &amp; deprecation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: semantic versioning; ≥ </w:t>
      </w: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12–18-month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deprecation windows for breaking changes; migration guides and change calendar in advance of releases (POM governance norm).</w:t>
      </w:r>
    </w:p>
    <w:p w14:paraId="57301AA8" w14:textId="4213212D" w:rsidR="00556E94" w:rsidRPr="00556E94" w:rsidRDefault="00556E94" w:rsidP="00556E9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Data portability/exit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 defined export formats &amp; tested runbooks; annual “zero-data” verification if the service is decommissioned or tenancy is exited. (Also aligns to bank third-party risk expectations.)</w:t>
      </w:r>
    </w:p>
    <w:p w14:paraId="6B7B9471" w14:textId="77777777" w:rsidR="00556E94" w:rsidRPr="00556E94" w:rsidRDefault="00556E94" w:rsidP="00556E94">
      <w:pPr>
        <w:pStyle w:val="Heading2"/>
        <w:jc w:val="both"/>
        <w:rPr>
          <w:rFonts w:eastAsia="Times New Roman"/>
          <w:lang w:eastAsia="en-CA"/>
        </w:rPr>
      </w:pPr>
      <w:r w:rsidRPr="00556E94">
        <w:rPr>
          <w:rFonts w:eastAsia="Times New Roman"/>
          <w:lang w:eastAsia="en-CA"/>
        </w:rPr>
        <w:t>Initial Success Measures (first 2–3 quarters)</w:t>
      </w:r>
    </w:p>
    <w:p w14:paraId="7EFAA517" w14:textId="77777777" w:rsidR="00556E94" w:rsidRPr="00556E94" w:rsidRDefault="00556E94" w:rsidP="00556E9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Adoption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 # of LOBs live; # of journeys on golden path; dev lead-time from intake → first API call.</w:t>
      </w:r>
    </w:p>
    <w:p w14:paraId="709C4EE0" w14:textId="77777777" w:rsidR="00556E94" w:rsidRPr="00556E94" w:rsidRDefault="00556E94" w:rsidP="00556E9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Experience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 cycle-time to complete doc requests; first-time-right rate; advisor/ops time saved.</w:t>
      </w:r>
    </w:p>
    <w:p w14:paraId="378ADA64" w14:textId="77777777" w:rsidR="00556E94" w:rsidRPr="00556E94" w:rsidRDefault="00556E94" w:rsidP="00556E9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Reliability/Trust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 SLO attainment; webhook success; audit issues closed.</w:t>
      </w:r>
    </w:p>
    <w:p w14:paraId="64E90146" w14:textId="77777777" w:rsidR="00556E94" w:rsidRPr="00556E94" w:rsidRDefault="00556E94" w:rsidP="00556E9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556E94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Economics</w:t>
      </w:r>
      <w:r w:rsidRPr="00556E9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: avoided duplicate tools; % reuse of widgets/flows; platform unit costs trending down.</w:t>
      </w:r>
    </w:p>
    <w:p w14:paraId="4A6838DE" w14:textId="77777777" w:rsidR="00556E94" w:rsidRDefault="00556E94" w:rsidP="00556E94">
      <w:pPr>
        <w:jc w:val="both"/>
      </w:pPr>
    </w:p>
    <w:sectPr w:rsidR="00556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993"/>
    <w:multiLevelType w:val="multilevel"/>
    <w:tmpl w:val="1F2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526E"/>
    <w:multiLevelType w:val="multilevel"/>
    <w:tmpl w:val="2BD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24DEF"/>
    <w:multiLevelType w:val="multilevel"/>
    <w:tmpl w:val="10F2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D19A4"/>
    <w:multiLevelType w:val="multilevel"/>
    <w:tmpl w:val="D6E0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83B39"/>
    <w:multiLevelType w:val="multilevel"/>
    <w:tmpl w:val="6750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913E6"/>
    <w:multiLevelType w:val="multilevel"/>
    <w:tmpl w:val="032C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812B1"/>
    <w:multiLevelType w:val="multilevel"/>
    <w:tmpl w:val="6CC2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E198A"/>
    <w:multiLevelType w:val="multilevel"/>
    <w:tmpl w:val="F74C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E7E3C"/>
    <w:multiLevelType w:val="multilevel"/>
    <w:tmpl w:val="370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3E2027"/>
    <w:multiLevelType w:val="multilevel"/>
    <w:tmpl w:val="852C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6429E"/>
    <w:multiLevelType w:val="multilevel"/>
    <w:tmpl w:val="E50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89460">
    <w:abstractNumId w:val="5"/>
  </w:num>
  <w:num w:numId="2" w16cid:durableId="1579903765">
    <w:abstractNumId w:val="9"/>
  </w:num>
  <w:num w:numId="3" w16cid:durableId="1057121610">
    <w:abstractNumId w:val="6"/>
  </w:num>
  <w:num w:numId="4" w16cid:durableId="735477438">
    <w:abstractNumId w:val="2"/>
  </w:num>
  <w:num w:numId="5" w16cid:durableId="482232757">
    <w:abstractNumId w:val="3"/>
  </w:num>
  <w:num w:numId="6" w16cid:durableId="890535015">
    <w:abstractNumId w:val="8"/>
  </w:num>
  <w:num w:numId="7" w16cid:durableId="2821961">
    <w:abstractNumId w:val="7"/>
  </w:num>
  <w:num w:numId="8" w16cid:durableId="1440028279">
    <w:abstractNumId w:val="0"/>
  </w:num>
  <w:num w:numId="9" w16cid:durableId="2120175860">
    <w:abstractNumId w:val="1"/>
  </w:num>
  <w:num w:numId="10" w16cid:durableId="1594581869">
    <w:abstractNumId w:val="10"/>
  </w:num>
  <w:num w:numId="11" w16cid:durableId="2078747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94"/>
    <w:rsid w:val="000643BB"/>
    <w:rsid w:val="00556E94"/>
    <w:rsid w:val="006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2DA1"/>
  <w15:chartTrackingRefBased/>
  <w15:docId w15:val="{1A8860EF-2305-4177-AA78-50750BD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6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Guichon</dc:creator>
  <cp:keywords/>
  <dc:description/>
  <cp:lastModifiedBy>Ryan Guichon</cp:lastModifiedBy>
  <cp:revision>1</cp:revision>
  <dcterms:created xsi:type="dcterms:W3CDTF">2025-08-19T15:05:00Z</dcterms:created>
  <dcterms:modified xsi:type="dcterms:W3CDTF">2025-08-19T15:17:00Z</dcterms:modified>
</cp:coreProperties>
</file>